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эстафета"/>
    <w:p>
      <w:pPr>
        <w:pStyle w:val="Heading3"/>
      </w:pPr>
      <w:r>
        <w:t xml:space="preserve">Эстафета</w:t>
      </w:r>
    </w:p>
    <w:p>
      <w:pPr>
        <w:pStyle w:val="FirstParagraph"/>
      </w:pPr>
      <w:r>
        <w:t xml:space="preserve">22.08.2019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rfin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http://gorfin.mos.ru/anti-corruption/methodical-materials/detail/8300353.html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«Городской финансово-технический сервис»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gorfin.mos.ru" TargetMode="External" /><Relationship Type="http://schemas.openxmlformats.org/officeDocument/2006/relationships/hyperlink" Id="rId23" Target="http://gorfin.mos.ru/anti-corruption/methodical-materials/detail/83003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rfin.mos.ru" TargetMode="External" /><Relationship Type="http://schemas.openxmlformats.org/officeDocument/2006/relationships/hyperlink" Id="rId23" Target="http://gorfin.mos.ru/anti-corruption/methodical-materials/detail/83003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2024-01-23T10:55:35Z</dcterms:created>
  <dcterms:modified xsi:type="dcterms:W3CDTF">2024-01-23T10:55:35Z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