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e9a2c2b39ec18311d586d13a9fd7b715984f0e"/>
    <w:p>
      <w:pPr>
        <w:pStyle w:val="Heading3"/>
      </w:pPr>
      <w:r>
        <w:t xml:space="preserve">Кодекс этики аппарата правительства и Мэра Москвы</w:t>
      </w:r>
    </w:p>
    <w:p>
      <w:pPr>
        <w:pStyle w:val="FirstParagraph"/>
      </w:pPr>
      <w:r>
        <w:t xml:space="preserve">22.08.2019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http://gorfin.mos.ru/anti-corruption/methodical-materials/detail/8300255.html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«Городской финансово-технический сервис»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fin.mos.ru" TargetMode="External" /><Relationship Type="http://schemas.openxmlformats.org/officeDocument/2006/relationships/hyperlink" Id="rId20" Target="http://gorfin.mos.ru/anti-corruption/methodical-materials/detail/83002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fin.mos.ru" TargetMode="External" /><Relationship Type="http://schemas.openxmlformats.org/officeDocument/2006/relationships/hyperlink" Id="rId20" Target="http://gorfin.mos.ru/anti-corruption/methodical-materials/detail/83002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2024-08-16T18:19:02Z</dcterms:created>
  <dcterms:modified xsi:type="dcterms:W3CDTF">2024-08-16T18:19:02Z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