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f18042ac1a5ed017618ecba04291b7c395d95"/>
    <w:p>
      <w:pPr>
        <w:pStyle w:val="Heading3"/>
      </w:pPr>
      <w:r>
        <w:t xml:space="preserve">Памятка «Административная ответственность юридических лиц за совершение правонарушений коррупционной направленности»</w:t>
      </w:r>
    </w:p>
    <w:p>
      <w:pPr>
        <w:pStyle w:val="FirstParagraph"/>
      </w:pPr>
      <w:r>
        <w:t xml:space="preserve">22.08.2019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http://gorfin.mos.ru/anti-corruption/methodical-materials/detail/8300246.html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«Городской финансово-технический сервис»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fin.mos.ru" TargetMode="External" /><Relationship Type="http://schemas.openxmlformats.org/officeDocument/2006/relationships/hyperlink" Id="rId20" Target="http://gorfin.mos.ru/anti-corruption/methodical-materials/detail/83002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fin.mos.ru" TargetMode="External" /><Relationship Type="http://schemas.openxmlformats.org/officeDocument/2006/relationships/hyperlink" Id="rId20" Target="http://gorfin.mos.ru/anti-corruption/methodical-materials/detail/83002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2024-08-17T03:07:02Z</dcterms:created>
  <dcterms:modified xsi:type="dcterms:W3CDTF">2024-08-17T03:07:02Z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