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f6fb82e6ea9e5e1433afbc43b5e5ed23b6f94"/>
    <w:p>
      <w:pPr>
        <w:pStyle w:val="Heading3"/>
      </w:pPr>
      <w:r>
        <w:t xml:space="preserve">Памятка для служащих «Сведения о доходах, расходах, об имуществе и обязательствах имущественного характера»</w:t>
      </w:r>
    </w:p>
    <w:p>
      <w:pPr>
        <w:pStyle w:val="FirstParagraph"/>
      </w:pPr>
      <w:r>
        <w:t xml:space="preserve">22.08.2019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http://gorfin.mos.ru/anti-corruption/methodical-materials/detail/8300157.html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«Городской финансово-технический сервис»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1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fin.mos.ru" TargetMode="External" /><Relationship Type="http://schemas.openxmlformats.org/officeDocument/2006/relationships/hyperlink" Id="rId20" Target="http://gorfin.mos.ru/anti-corruption/methodical-materials/detail/83001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2023-08-18T05:59:10Z</dcterms:created>
  <dcterms:modified xsi:type="dcterms:W3CDTF">2023-08-18T05:59:10Z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